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2CBC8" w14:textId="201334A8" w:rsidR="00C43716" w:rsidRPr="00AF7CD9" w:rsidRDefault="00AF7CD9" w:rsidP="00AF7CD9">
      <w:pPr>
        <w:jc w:val="center"/>
        <w:rPr>
          <w:b/>
          <w:bCs/>
        </w:rPr>
      </w:pPr>
      <w:r w:rsidRPr="00AF7CD9">
        <w:rPr>
          <w:b/>
          <w:bCs/>
        </w:rPr>
        <w:t>CORRECTION DE L’ATELIER D’ECRITURE N°1 1</w:t>
      </w:r>
      <w:r w:rsidRPr="00AF7CD9">
        <w:rPr>
          <w:b/>
          <w:bCs/>
          <w:vertAlign w:val="superscript"/>
        </w:rPr>
        <w:t>ERE</w:t>
      </w:r>
      <w:r w:rsidRPr="00AF7CD9">
        <w:rPr>
          <w:b/>
          <w:bCs/>
        </w:rPr>
        <w:t xml:space="preserve"> B ET D</w:t>
      </w:r>
    </w:p>
    <w:p w14:paraId="3644C046" w14:textId="77777777" w:rsidR="009C7CD1" w:rsidRDefault="009C7CD1" w:rsidP="00AF7CD9">
      <w:pPr>
        <w:jc w:val="both"/>
      </w:pPr>
    </w:p>
    <w:p w14:paraId="04342667" w14:textId="77777777" w:rsidR="009C7CD1" w:rsidRDefault="009C7CD1" w:rsidP="00AF7CD9">
      <w:pPr>
        <w:jc w:val="both"/>
      </w:pPr>
    </w:p>
    <w:p w14:paraId="696DBA2A" w14:textId="59E1B792" w:rsidR="009C7CD1" w:rsidRDefault="009C7CD1" w:rsidP="00AF7CD9">
      <w:pPr>
        <w:jc w:val="both"/>
      </w:pPr>
      <w:r>
        <w:t xml:space="preserve">Durant le mois de septembre 1792, un nouveau pouvoir s’établit en France, après la déchéance de Louis XVI, dans un climat de confusion et de violence. Alors que Paris est </w:t>
      </w:r>
      <w:r w:rsidR="00AF7CD9">
        <w:t xml:space="preserve">livré à la violence </w:t>
      </w:r>
      <w:r>
        <w:t>des sans-culottes, les Français sont conviés à élire au suffrage universel une assemblée, appelée la Convention Nationale, à laquelle est confié</w:t>
      </w:r>
      <w:r w:rsidR="007A1B43">
        <w:t>e</w:t>
      </w:r>
      <w:r>
        <w:t xml:space="preserve"> la direction du pays, un</w:t>
      </w:r>
      <w:r w:rsidR="007A1B43">
        <w:t>e</w:t>
      </w:r>
      <w:r>
        <w:t xml:space="preserve"> fois que la 1</w:t>
      </w:r>
      <w:r w:rsidRPr="009C7CD1">
        <w:rPr>
          <w:vertAlign w:val="superscript"/>
        </w:rPr>
        <w:t>ère</w:t>
      </w:r>
      <w:r>
        <w:t xml:space="preserve"> République est proclamée le 22 septembre 1792. Cette Convention, qui prétend représenter la Nation</w:t>
      </w:r>
      <w:r w:rsidR="00AF7CD9">
        <w:t>,</w:t>
      </w:r>
      <w:r>
        <w:t xml:space="preserve"> alors que très peu de votants ont participé au vote, se charge aussi de juger le roi déchu.</w:t>
      </w:r>
    </w:p>
    <w:p w14:paraId="7D817C10" w14:textId="005D9C23" w:rsidR="009C7CD1" w:rsidRDefault="009C7CD1" w:rsidP="00AF7CD9">
      <w:pPr>
        <w:jc w:val="both"/>
      </w:pPr>
      <w:r>
        <w:t>En quoi le procès de Louis XVI révèle-t-il le conflit entre le roi et la Nation ?</w:t>
      </w:r>
    </w:p>
    <w:p w14:paraId="650B05A5" w14:textId="77777777" w:rsidR="009C7CD1" w:rsidRDefault="009C7CD1" w:rsidP="00AF7CD9">
      <w:pPr>
        <w:jc w:val="both"/>
      </w:pPr>
    </w:p>
    <w:p w14:paraId="40205123" w14:textId="17AD5EDC" w:rsidR="009C7CD1" w:rsidRDefault="009C7CD1" w:rsidP="00AF7CD9">
      <w:pPr>
        <w:jc w:val="both"/>
      </w:pPr>
      <w:r w:rsidRPr="00452B69">
        <w:rPr>
          <w:color w:val="EE0000"/>
        </w:rPr>
        <w:t>Tout d’abord</w:t>
      </w:r>
      <w:r>
        <w:t xml:space="preserve">, une commission de députés de la Convention est chargée d’élaborer 33 </w:t>
      </w:r>
      <w:r w:rsidRPr="00452B69">
        <w:rPr>
          <w:b/>
          <w:bCs/>
        </w:rPr>
        <w:t>chefs d’accusation</w:t>
      </w:r>
      <w:r>
        <w:t xml:space="preserve"> à partir des documents privés du roi que l’on a découvert dans son armoire de fer. Selon le rapport présenté à la </w:t>
      </w:r>
      <w:r w:rsidR="007A1B43">
        <w:t>C</w:t>
      </w:r>
      <w:r>
        <w:t xml:space="preserve">onvention le 10 décembre 1792, Louis XVI serait coupable de trois sortes de crimes. Il aurait trahi son pays en menant, par exemple, </w:t>
      </w:r>
      <w:r w:rsidRPr="00452B69">
        <w:rPr>
          <w:color w:val="00B050"/>
        </w:rPr>
        <w:t>« un double jeu diplomatique avec les puissances européennes »</w:t>
      </w:r>
      <w:r>
        <w:t xml:space="preserve">. Plus grave encore, il aurait donné l’ordre de tirer sur son peuple notamment le 17 juillet 1791, lorsque </w:t>
      </w:r>
      <w:r w:rsidR="00AF7CD9">
        <w:t>d</w:t>
      </w:r>
      <w:r>
        <w:t>es partisans de Danton sont massacrés</w:t>
      </w:r>
      <w:r w:rsidR="00AF7CD9">
        <w:t xml:space="preserve"> sur le Champ de Mars</w:t>
      </w:r>
      <w:r>
        <w:t xml:space="preserve"> ou encore au moment de la prise des Tuileries le 10 août 1792. Mais le véritable motif de sa mise en accusation réside bien dans le fait que Louis XVI </w:t>
      </w:r>
      <w:r w:rsidR="00AF7CD9">
        <w:t>a</w:t>
      </w:r>
      <w:r>
        <w:t xml:space="preserve"> toujours refusé le nouveau régime mis en place dès l’été 1789. </w:t>
      </w:r>
      <w:r w:rsidR="00452B69">
        <w:t xml:space="preserve">Il l’aurait montré en refusant de </w:t>
      </w:r>
      <w:r w:rsidR="00452B69" w:rsidRPr="00452B69">
        <w:rPr>
          <w:color w:val="00B050"/>
        </w:rPr>
        <w:t xml:space="preserve">« contresigner l’abolition des privilèges votée le 4 août » </w:t>
      </w:r>
      <w:r w:rsidR="00452B69">
        <w:t xml:space="preserve">(article 4) ou en refusant </w:t>
      </w:r>
      <w:r w:rsidR="00452B69" w:rsidRPr="00452B69">
        <w:rPr>
          <w:color w:val="00B050"/>
        </w:rPr>
        <w:t>« le décret sur les prêtres réfractaires »</w:t>
      </w:r>
      <w:r w:rsidR="00452B69">
        <w:t>. (</w:t>
      </w:r>
      <w:r w:rsidR="007A1B43">
        <w:t>Article</w:t>
      </w:r>
      <w:r w:rsidR="00452B69">
        <w:t xml:space="preserve"> 25)</w:t>
      </w:r>
    </w:p>
    <w:p w14:paraId="20FF1413" w14:textId="77777777" w:rsidR="00452B69" w:rsidRDefault="00452B69" w:rsidP="00AF7CD9">
      <w:pPr>
        <w:jc w:val="both"/>
      </w:pPr>
    </w:p>
    <w:p w14:paraId="65268450" w14:textId="74D46A68" w:rsidR="00452B69" w:rsidRDefault="00452B69" w:rsidP="00AF7CD9">
      <w:pPr>
        <w:jc w:val="both"/>
      </w:pPr>
      <w:r w:rsidRPr="00452B69">
        <w:rPr>
          <w:color w:val="EE0000"/>
        </w:rPr>
        <w:t>Mais</w:t>
      </w:r>
      <w:r>
        <w:t xml:space="preserve"> en réalité se pose</w:t>
      </w:r>
      <w:r w:rsidR="007A1B43">
        <w:t>,</w:t>
      </w:r>
      <w:r>
        <w:t xml:space="preserve"> dès le début du procès</w:t>
      </w:r>
      <w:r w:rsidR="007A1B43">
        <w:t>,</w:t>
      </w:r>
      <w:r>
        <w:t xml:space="preserve"> un problème de fond. Peut-on condamner le roi ? En effet, les conventionnels ont établi que la personne du roi est inviolable et sacrée dans la Constitution de 1791. La Convention s’arroge aussi le droit de juger, alors qu’elle est une assemblée législative. Les pouvoirs, définis par Montesquieu, sont ainsi confondus. Deux députés, Saint-Just et surtout Robespierre, entreprennent de dégager les conventionnels de tout scrupule. Avant l’ouverture du procès, le 3 décembre, Robespierre incite les députés à faire mourir Louis XVI sans jugement car </w:t>
      </w:r>
      <w:r w:rsidRPr="00452B69">
        <w:rPr>
          <w:color w:val="00B050"/>
        </w:rPr>
        <w:t>« Louis doit mourir, parce qu’il faut que la patrie vive. »</w:t>
      </w:r>
      <w:r>
        <w:t xml:space="preserve"> (</w:t>
      </w:r>
      <w:r w:rsidR="007A1B43">
        <w:t>Document</w:t>
      </w:r>
      <w:r>
        <w:t xml:space="preserve"> 2 page 28). Le procès a tout de même lieu du 10 au 26 décembre. Mais lors de la délibération le 15 janvier, le résultat du vote montre combien les députés sont divisés. 366 députés sur 721 votent la mort du roi, ce qui fait une très courte majorité, tout comme le refus de procéder à un sursis à l’exécution (document 1 page 28).</w:t>
      </w:r>
    </w:p>
    <w:p w14:paraId="2C7ADD23" w14:textId="77777777" w:rsidR="00452B69" w:rsidRDefault="00452B69" w:rsidP="00AF7CD9">
      <w:pPr>
        <w:jc w:val="both"/>
      </w:pPr>
    </w:p>
    <w:p w14:paraId="231C4AD3" w14:textId="2701F102" w:rsidR="00452B69" w:rsidRDefault="00452B69" w:rsidP="00AF7CD9">
      <w:pPr>
        <w:jc w:val="both"/>
      </w:pPr>
      <w:r w:rsidRPr="00452B69">
        <w:rPr>
          <w:color w:val="EE0000"/>
        </w:rPr>
        <w:t>Ensuite</w:t>
      </w:r>
      <w:r>
        <w:rPr>
          <w:color w:val="EE0000"/>
        </w:rPr>
        <w:t xml:space="preserve">, </w:t>
      </w:r>
      <w:r>
        <w:t>Louis XVI</w:t>
      </w:r>
      <w:r w:rsidR="00AF7CD9">
        <w:t>, qui avait simplement répondu aux accusations portées contre lui le 10 décembre (document 3),</w:t>
      </w:r>
      <w:r>
        <w:t xml:space="preserve"> demande à être assisté par trois avocats</w:t>
      </w:r>
      <w:r w:rsidR="00AF7CD9">
        <w:t xml:space="preserve">, Lamoignon de </w:t>
      </w:r>
      <w:proofErr w:type="spellStart"/>
      <w:r w:rsidR="00AF7CD9">
        <w:t>Malesherbe</w:t>
      </w:r>
      <w:proofErr w:type="spellEnd"/>
      <w:r w:rsidR="00AF7CD9">
        <w:t xml:space="preserve">, son ancien ministre et mentor, Tronchet et surtout l’avocat bordelais Raymond de </w:t>
      </w:r>
      <w:proofErr w:type="spellStart"/>
      <w:r w:rsidR="00AF7CD9">
        <w:t>Sèze</w:t>
      </w:r>
      <w:proofErr w:type="spellEnd"/>
      <w:r w:rsidR="00AF7CD9">
        <w:t xml:space="preserve"> qui plaide pendant trois heures en faveur du roi. Ce dernier peut finalement s’exprimer devant ses juges le 26 décembre 1792. Avec dignité et simplicité, il affirme qu’il trouve naturel qu’on lui demande des comptes de son attitude. Mais son cœur </w:t>
      </w:r>
      <w:r w:rsidR="00AF7CD9" w:rsidRPr="00AF7CD9">
        <w:rPr>
          <w:color w:val="4EA72E" w:themeColor="accent6"/>
        </w:rPr>
        <w:t xml:space="preserve">« est déchiré de trouver dans l’acte d’accusation l’imputation d’avoir voulu répandre le sang du peuple et surtout que les massacres du 10 août » </w:t>
      </w:r>
      <w:r w:rsidR="00AF7CD9">
        <w:t>lui soient attribués. (</w:t>
      </w:r>
      <w:proofErr w:type="gramStart"/>
      <w:r w:rsidR="00AF7CD9">
        <w:t>document</w:t>
      </w:r>
      <w:proofErr w:type="gramEnd"/>
      <w:r w:rsidR="00AF7CD9">
        <w:t xml:space="preserve"> 5 page 29). Depuis le début de son règne en 1774, il a toujours affirmé qu’il a tout mis en œuvre pour le bonheur de ses sujets. </w:t>
      </w:r>
    </w:p>
    <w:p w14:paraId="7B19670E" w14:textId="77777777" w:rsidR="00AF7CD9" w:rsidRDefault="00AF7CD9" w:rsidP="00AF7CD9">
      <w:pPr>
        <w:jc w:val="both"/>
      </w:pPr>
    </w:p>
    <w:p w14:paraId="53829D0C" w14:textId="3D352B2C" w:rsidR="00AF7CD9" w:rsidRPr="00452B69" w:rsidRDefault="00AF7CD9">
      <w:pPr>
        <w:jc w:val="both"/>
      </w:pPr>
      <w:r w:rsidRPr="00AF7CD9">
        <w:rPr>
          <w:color w:val="EE0000"/>
        </w:rPr>
        <w:t xml:space="preserve">Finalement, </w:t>
      </w:r>
      <w:r>
        <w:t>après avoir rédig</w:t>
      </w:r>
      <w:r w:rsidR="0033461F">
        <w:t>é</w:t>
      </w:r>
      <w:r>
        <w:t xml:space="preserve"> son testament où il offre sa vie en sacrifice pour son peuple, Louis XVI est guillotiné sur l’ancienne place Louis XV, actuelle place de la Concorde, par un froid petit matin </w:t>
      </w:r>
      <w:r w:rsidR="0033461F">
        <w:t>du</w:t>
      </w:r>
      <w:r>
        <w:t xml:space="preserve"> 21 janvier 1793. Mais la Convention Nationale, </w:t>
      </w:r>
      <w:r>
        <w:lastRenderedPageBreak/>
        <w:t xml:space="preserve">très divisée pendant le procès du roi, pourra-t-elle </w:t>
      </w:r>
      <w:r w:rsidR="0033461F">
        <w:t>faire face dans l’unité aux dangers extérieurs et intérieurs qui menacent les idéaux révolutionnaires ?</w:t>
      </w:r>
    </w:p>
    <w:sectPr w:rsidR="00AF7CD9" w:rsidRPr="00452B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alatino">
    <w:panose1 w:val="00000000000000000000"/>
    <w:charset w:val="4D"/>
    <w:family w:val="auto"/>
    <w:pitch w:val="variable"/>
    <w:sig w:usb0="A00002FF" w:usb1="7800205A" w:usb2="14600000" w:usb3="00000000" w:csb0="00000193" w:csb1="00000000"/>
  </w:font>
  <w:font w:name="Aptos">
    <w:panose1 w:val="020B0004020202020204"/>
    <w:charset w:val="00"/>
    <w:family w:val="swiss"/>
    <w:pitch w:val="variable"/>
    <w:sig w:usb0="20000287" w:usb1="00000003" w:usb2="00000000" w:usb3="00000000" w:csb0="0000019F" w:csb1="00000000"/>
  </w:font>
  <w:font w:name="Times New Roman (Corps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CD1"/>
    <w:rsid w:val="000B2344"/>
    <w:rsid w:val="001F4AB9"/>
    <w:rsid w:val="002A3869"/>
    <w:rsid w:val="0033461F"/>
    <w:rsid w:val="00452B69"/>
    <w:rsid w:val="005F5488"/>
    <w:rsid w:val="007A1B43"/>
    <w:rsid w:val="009C7CD1"/>
    <w:rsid w:val="00A1275D"/>
    <w:rsid w:val="00AF7CD9"/>
    <w:rsid w:val="00B672F3"/>
    <w:rsid w:val="00C43716"/>
    <w:rsid w:val="00C846DA"/>
    <w:rsid w:val="00D65B6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AFE5B39"/>
  <w15:chartTrackingRefBased/>
  <w15:docId w15:val="{B27BD2CF-02C5-1242-B26C-B7ACCCC90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alatino" w:eastAsiaTheme="minorHAnsi" w:hAnsi="Palatino" w:cs="Times New Roman (Corps CS)"/>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C7C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C7C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C7CD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C7CD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itre5">
    <w:name w:val="heading 5"/>
    <w:basedOn w:val="Normal"/>
    <w:next w:val="Normal"/>
    <w:link w:val="Titre5Car"/>
    <w:uiPriority w:val="9"/>
    <w:semiHidden/>
    <w:unhideWhenUsed/>
    <w:qFormat/>
    <w:rsid w:val="009C7CD1"/>
    <w:pPr>
      <w:keepNext/>
      <w:keepLines/>
      <w:spacing w:before="80" w:after="40"/>
      <w:outlineLvl w:val="4"/>
    </w:pPr>
    <w:rPr>
      <w:rFonts w:asciiTheme="minorHAnsi" w:eastAsiaTheme="majorEastAsia" w:hAnsiTheme="minorHAnsi" w:cstheme="majorBidi"/>
      <w:color w:val="0F4761" w:themeColor="accent1" w:themeShade="BF"/>
    </w:rPr>
  </w:style>
  <w:style w:type="paragraph" w:styleId="Titre6">
    <w:name w:val="heading 6"/>
    <w:basedOn w:val="Normal"/>
    <w:next w:val="Normal"/>
    <w:link w:val="Titre6Car"/>
    <w:uiPriority w:val="9"/>
    <w:semiHidden/>
    <w:unhideWhenUsed/>
    <w:qFormat/>
    <w:rsid w:val="009C7CD1"/>
    <w:pPr>
      <w:keepNext/>
      <w:keepLines/>
      <w:spacing w:before="4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9C7CD1"/>
    <w:pPr>
      <w:keepNext/>
      <w:keepLines/>
      <w:spacing w:before="4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9C7CD1"/>
    <w:pPr>
      <w:keepNext/>
      <w:keepLines/>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9C7CD1"/>
    <w:pPr>
      <w:keepNext/>
      <w:keepLines/>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C7CD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C7CD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C7CD1"/>
    <w:rPr>
      <w:rFonts w:asciiTheme="minorHAnsi" w:eastAsiaTheme="majorEastAsia" w:hAnsiTheme="minorHAnsi" w:cstheme="majorBidi"/>
      <w:color w:val="0F4761" w:themeColor="accent1" w:themeShade="BF"/>
      <w:sz w:val="28"/>
      <w:szCs w:val="28"/>
    </w:rPr>
  </w:style>
  <w:style w:type="character" w:customStyle="1" w:styleId="Titre4Car">
    <w:name w:val="Titre 4 Car"/>
    <w:basedOn w:val="Policepardfaut"/>
    <w:link w:val="Titre4"/>
    <w:uiPriority w:val="9"/>
    <w:semiHidden/>
    <w:rsid w:val="009C7CD1"/>
    <w:rPr>
      <w:rFonts w:asciiTheme="minorHAnsi" w:eastAsiaTheme="majorEastAsia" w:hAnsiTheme="minorHAnsi" w:cstheme="majorBidi"/>
      <w:i/>
      <w:iCs/>
      <w:color w:val="0F4761" w:themeColor="accent1" w:themeShade="BF"/>
    </w:rPr>
  </w:style>
  <w:style w:type="character" w:customStyle="1" w:styleId="Titre5Car">
    <w:name w:val="Titre 5 Car"/>
    <w:basedOn w:val="Policepardfaut"/>
    <w:link w:val="Titre5"/>
    <w:uiPriority w:val="9"/>
    <w:semiHidden/>
    <w:rsid w:val="009C7CD1"/>
    <w:rPr>
      <w:rFonts w:asciiTheme="minorHAnsi" w:eastAsiaTheme="majorEastAsia" w:hAnsiTheme="minorHAnsi" w:cstheme="majorBidi"/>
      <w:color w:val="0F4761" w:themeColor="accent1" w:themeShade="BF"/>
    </w:rPr>
  </w:style>
  <w:style w:type="character" w:customStyle="1" w:styleId="Titre6Car">
    <w:name w:val="Titre 6 Car"/>
    <w:basedOn w:val="Policepardfaut"/>
    <w:link w:val="Titre6"/>
    <w:uiPriority w:val="9"/>
    <w:semiHidden/>
    <w:rsid w:val="009C7CD1"/>
    <w:rPr>
      <w:rFonts w:asciiTheme="minorHAnsi" w:eastAsiaTheme="majorEastAsia" w:hAnsiTheme="minorHAnsi" w:cstheme="majorBidi"/>
      <w:i/>
      <w:iCs/>
      <w:color w:val="595959" w:themeColor="text1" w:themeTint="A6"/>
    </w:rPr>
  </w:style>
  <w:style w:type="character" w:customStyle="1" w:styleId="Titre7Car">
    <w:name w:val="Titre 7 Car"/>
    <w:basedOn w:val="Policepardfaut"/>
    <w:link w:val="Titre7"/>
    <w:uiPriority w:val="9"/>
    <w:semiHidden/>
    <w:rsid w:val="009C7CD1"/>
    <w:rPr>
      <w:rFonts w:asciiTheme="minorHAnsi" w:eastAsiaTheme="majorEastAsia" w:hAnsiTheme="minorHAnsi" w:cstheme="majorBidi"/>
      <w:color w:val="595959" w:themeColor="text1" w:themeTint="A6"/>
    </w:rPr>
  </w:style>
  <w:style w:type="character" w:customStyle="1" w:styleId="Titre8Car">
    <w:name w:val="Titre 8 Car"/>
    <w:basedOn w:val="Policepardfaut"/>
    <w:link w:val="Titre8"/>
    <w:uiPriority w:val="9"/>
    <w:semiHidden/>
    <w:rsid w:val="009C7CD1"/>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sid w:val="009C7CD1"/>
    <w:rPr>
      <w:rFonts w:asciiTheme="minorHAnsi" w:eastAsiaTheme="majorEastAsia" w:hAnsiTheme="minorHAnsi" w:cstheme="majorBidi"/>
      <w:color w:val="272727" w:themeColor="text1" w:themeTint="D8"/>
    </w:rPr>
  </w:style>
  <w:style w:type="paragraph" w:styleId="Titre">
    <w:name w:val="Title"/>
    <w:basedOn w:val="Normal"/>
    <w:next w:val="Normal"/>
    <w:link w:val="TitreCar"/>
    <w:uiPriority w:val="10"/>
    <w:qFormat/>
    <w:rsid w:val="009C7CD1"/>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C7CD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C7CD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C7CD1"/>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9C7CD1"/>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9C7CD1"/>
    <w:rPr>
      <w:i/>
      <w:iCs/>
      <w:color w:val="404040" w:themeColor="text1" w:themeTint="BF"/>
    </w:rPr>
  </w:style>
  <w:style w:type="paragraph" w:styleId="Paragraphedeliste">
    <w:name w:val="List Paragraph"/>
    <w:basedOn w:val="Normal"/>
    <w:uiPriority w:val="34"/>
    <w:qFormat/>
    <w:rsid w:val="009C7CD1"/>
    <w:pPr>
      <w:ind w:left="720"/>
      <w:contextualSpacing/>
    </w:pPr>
  </w:style>
  <w:style w:type="character" w:styleId="Accentuationintense">
    <w:name w:val="Intense Emphasis"/>
    <w:basedOn w:val="Policepardfaut"/>
    <w:uiPriority w:val="21"/>
    <w:qFormat/>
    <w:rsid w:val="009C7CD1"/>
    <w:rPr>
      <w:i/>
      <w:iCs/>
      <w:color w:val="0F4761" w:themeColor="accent1" w:themeShade="BF"/>
    </w:rPr>
  </w:style>
  <w:style w:type="paragraph" w:styleId="Citationintense">
    <w:name w:val="Intense Quote"/>
    <w:basedOn w:val="Normal"/>
    <w:next w:val="Normal"/>
    <w:link w:val="CitationintenseCar"/>
    <w:uiPriority w:val="30"/>
    <w:qFormat/>
    <w:rsid w:val="009C7C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C7CD1"/>
    <w:rPr>
      <w:i/>
      <w:iCs/>
      <w:color w:val="0F4761" w:themeColor="accent1" w:themeShade="BF"/>
    </w:rPr>
  </w:style>
  <w:style w:type="character" w:styleId="Rfrenceintense">
    <w:name w:val="Intense Reference"/>
    <w:basedOn w:val="Policepardfaut"/>
    <w:uiPriority w:val="32"/>
    <w:qFormat/>
    <w:rsid w:val="009C7CD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602</Words>
  <Characters>3314</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sylvie Bernay</dc:creator>
  <cp:keywords/>
  <dc:description/>
  <cp:lastModifiedBy>sylvie Bernay</cp:lastModifiedBy>
  <cp:revision>3</cp:revision>
  <cp:lastPrinted>2025-09-30T14:02:00Z</cp:lastPrinted>
  <dcterms:created xsi:type="dcterms:W3CDTF">2025-09-30T08:52:00Z</dcterms:created>
  <dcterms:modified xsi:type="dcterms:W3CDTF">2025-09-30T14:37:00Z</dcterms:modified>
</cp:coreProperties>
</file>